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29.11.2019, оставленным без изменения постановлением Девятого арбитражного апелляционного суда от 17.02.2020, иск удовлетворен. Арбитражный суд Московского округа постановлением от 10.06.2020 решение от 29.11.2019 и постановление Девятого арбитражного апелляционного суда от 17.02.2020 оставил без изменения. В кассационной жалобе общество просит об отмене судебных актов, ссылаясь на игнорирование сложившейся судебной практики и необходимость перерасчета суммы вознаграждения.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 судов о том, что отзыв у банка лицензии на осуществление банковских операций не является основанием изменения обязательства принципала по оплате вознаграждения за выдачу банковской гарантии, соответствует статьям 368 , 369 , 378 Гражданского кодекса Российской Федерации, нормам Федерального закона от 26.10.2002 № 127-ФЗ «О несостоятельности (банкротстве)», Федерального закона от 02.12.1990 № 395-1 «О банках и банковской деятельности» и судебной практике их применения.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«Дортрансстрой»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"Дортрансстрой"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