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Ростовской области с иском о взыскании с индивидуального предпринимателя ФИО1 547 335 рублей стоимости утраченного груза. Решением Арбитражного суда Ростовской области от 25.12.2018, оставленным без изменения постановлением Пятнадцатого арбитражного апелляционного суда от 22.05.2019, иск удовлетворен. Постановлением Арбитражного суда Северо-Кавказского округа от 27.08.2019 указанные судебные акты отменены и дело направлено на новое рассмотрение в Арбитражный суд Ростовской области. При новом рассмотрении дела решением Арбитражного суда Ростовской области от 09.01.2020 иск удовлетворен. Постановлением Пятнадцатого арбитражного апелляционного суда от 20.03.2020 решение суда первой инстанции оставлено без изменения. Арбитражный суд Северо-Кавказского округа постановлением от 30.06.2020 принятые по делу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принятия ответчиком груза к перевозке и его утраты (порчи), в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393 , 785 , 796 Гражданского кодекса Российской Федерации, суды признали иск подлежащим удовлетворению.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Кундрат Олег Витальевич (подробнее) Ответчики: ИП Хайкин Евгений Александрович представитель Гуцев Е.Е.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