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08.11.2019 исковые требования удовлетворены. Одиннадцатый арбитражный апелляционный суд постановлением от 20.02.2020 отменил решение от 08.11.2019 и отказал в удовлетворении иска. Арбитражный суд Поволжского округа постановлением от 11.06.2020 постановление Одиннадцатого арбитражного апелляционного суда от 20.02.2020 оставил без изменения. В кассационной жалобе общество «АТМ Строй» просит об отмене судебных актов апелляционного и окружного судов, ссылаясь на отсутствие доказательств поставки товаров в счет ранее перечисленных денежных средств за оказание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повторно исследовав обстоятельства расчетов сторон, установил предоставление ответчиком встречного исполнения на спорную сумму, поэтому в соответствии со статьями 309 , 310 , 1102 , 1105 Гражданского кодекса Российской Федерации правомерно отказал в иске о взыскании оплаченной за услуги суммы. Вопросы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«АТМ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"АТМ Строй", г. Казань (подробнее) Ответчики: ООО "АвантаИнвестКазань", г. Казань (подробнее) Иные лица: Адресно-справочное бюро МВД РТ (подробнее) МИФНС №3 по РТ (подробнее) Одиннадцатый арбитражный апелляционный суд, г.Самара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