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11.11.2019, оставленным без изменения постановлением Девятого арбитражного апелляционного суда от 29.01.2020 и постановлением Арбитражного суда Московского округа от 15.06.2020, первоначальный иск удовлетворен частично, с общества в пользу компании взыскано 42 301 199 руб. 67 коп. неосновательного обогащения, в удовлетворении остальной части первоначального иска и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компании (генподрядчика) и общества (подрядчика) основаны на договоре от 20.06.2017 № БГ/ПД-035, о расторжении которого генподрядчик уведомил подрядчика письмом от 08.10.2018.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перечисления компанией аванса в размере 79 000 000 руб. и выполнения обществом работ стоимостью 36 698 800 руб. 33 коп. При таких обстоятельствах, учитывая отсутствие доказательств выполнения обществом работ на большую сумму, руководствуясь статьями 165.1 , 431 , 450.1 , 715 , 717 , 720 , 1102 Гражданского кодекса Российской Федерации, суды пришли к выводу о наличии на стороне общества неосновательного обогащения в размере 42 301 199 руб. 67 коп., в связи с чем частично удовлетворили первоначальный иск и отказали в удовлетворении встречного иска. С указанными выводами впоследствии согласился суд округа. Довод заявителя о том, что по делу не была назначена судебная экспертиза, подлежит отклонению, поскольку при рассмотрении настоящего дела в суде первой инстанции общество самостоятельного ходатайства о назначении экспертизы не заявляло, при этом, как следует из судебных актов, возражало против удовлетворения соответствующего ходатайства, заявленного компанией. Кроме того, назначение судебной экспертизы в соответствии со статьей 82 Арбитражного процессуального кодекса Российской Федерации является правом, а не обязанностью суда и находится в компетенции суда, разрешающего дело по существу. Иные доводы кассационной жалобы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и не подтверждают существенных нарушений норм материального и процессуального права, повлиявших на исход дела, поэтому оснований для передачи жалобы для рассмотрения в судебном заседании Судебной коллегии Верховного Суда Российской Федерации не имеется.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«БИЗНЕС ГОРИЗОНТ»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"Группа компаний "ЕКС" (подробнее) ООО "Орбита НН" (подробнее) ООО "ОРБИТ-НН" (подробнее) Ответчики: ООО "БИЗНЕС ГОРИЗОНТ"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