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«Федеральная пассажирская компания» обратилось в Арбитражный суд города Москвы с иском о взыскании с акционерного общества «Почта России» 658 926 рублей 67 копеек штрафа. Решением Арбитражного суда города Москвы от 27.12.2019 иск удовлетворен. Постановлением Девятого арбитражного апелляционного суда от 25.03.2020 решение суда первой инстанции оставлено без изменения. Арбитражный суд Московского округа постановлением от 09.07.2020 указанные судебные акты оставил без изменения. Акционерное общество «Почта России»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предъявления запрещенных к перевозке в качестве грузобагажа предметов, а также правильность начисления установленного договором штрафа, руководствуясь статьей 111 Федерального закона от 10.01.2013 № 18-ФЗ «Устав железнодорожного транспорта Российской Федерации»,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«Почта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"Федеральная пассажирская компания" (подробнее) Ответчики: ФГУП "Почта России"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