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«Атомстройэкспорт» (далее – истец) обратилось в Арбитражный суд Ростовской области с иском к обществу с ограниченной ответственностью «Авантаж» (далее – ответчик) о расторжении договора поставки от 02.06.2017 № 7764/171499, взыскании 1 684 513 рублей 54 копейки неустойки по состоянию на 22.04.2019, ответчик, в свою очередь, заявил встречный иск о расторжении договора от 02.06.2017 № 7764/171499, об отказе истцу во взыскании 1 684 513 рублей 54 копейки неустойки по состоянию на 22.04.2019. Решением Арбитражного суда Ростовской области от 21.10.2019 требования истца удовлетворены частично: расторгнут договор от 02.06.2017 № 7764/171499, в удовлетворении остальной части требований истцу отказано; в удовлетворении встречного иска ответчику отказано. Постановлением Пятнадцатого арбитражного апелляционного суда от 19.12.2019 решение суда первой инстанции изменено, абзац третий резолютивной части решения изложен в следующей редакции: «Взыскать с ООО «Авантаж» в пользу АО «Атомстройэкспорт» неустойку в размере 842 256 рублей 77 копеек, судебные расходы по оплате государственной пошлины по иску в размере 35 845 рублей. Отказать в удовлетворении остальной части исковых требований АО «Атомстройэкспорт». Арбитражный суд Северо-Кавказского округа постановлением от 30.06.2020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поставщиком по договору от 02.06.2017 № 7764/171499, ответчик существенно нарушил его условия, не поставив в предусмотренный срок оборудование покупателю – истцу, суды удовлетворили требования истца о расторжении указанного договора по указанным основаниям. Поскольку ответчиком были нарушены согласованные сроки исполнения обязанности по поставке оборудования суд апелляционной инстанции признал правомерным требование истца о взыскании с ответчика неустойки, определив ее размер с применением положений статьи 333 Гражданского кодекса Российской Федерации. Суд кассационной инстанции согласился с указанными выводами. Обжалуя судебные акты в Верховный Суд Российской Федерации, ответчик приводит доводы, которые являлись предметом рассмотрения судов и получили надлежащую правовую оценку с учетом установленных обстоятельств дела, в том числе связанных с обстоятельствами исполнения договора.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"АТОМСТРОЙЭКСПОРТ" (подробнее) Ответчики: ООО "Авантаж" (подробнее) Судьи дела: Першутов А.Г.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