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«Экотранссервис» (далее – общество) обратилось в Арбитражный суд города Москвы с иском к государственному бюджетному учреждению «МФЦ г. Москвы» (далее – учреждение) о взыскании 880 903 рублей 30 копеек задолженности за ненадлежащее исполнение обязательств по договору от 12.04.2019 № 0373200597219000018_295062 и 20 618 рублей расходов по уплате государственной пошлине. Определением Арбитражного суда города Москвы от 23.01.2020, оставленным без изменения постановлением Девятого арбитражного апелляционного суда от 26.06.2020, производство по делу приостановлено до вступления в законную силу решения Арбитражного суда города Москвы по делу № А40-254133/2019. Арбитражный суд Московского округа постановлением от 10.08.2020 оставил без изменения определение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Установив, что в производстве Арбитражного суда города Москвы находится дело № А40-254133/2019, требования по которому связаны по основаниям их возникновения и представленным доказательствам с требованиями, заявленными в рассматриваемом дела, и имеется риск принятия противоречащих друг другу судебных актов, руководствуясь положениями части 9 статьи 130 Арбитражного процессуального кодекса Российской Федерации, суды приостановили производство по настоящему делу до вступления в законную силу решения Арбитражного суда города Москвы по делу № А40-254133/2019.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обстоятельств, связанных с наличием оснований для приостановления производства по настоящему делу.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Кроме того, согласно информации, размещенной в картотеке арбитражных дел на официальном сайте суда в информационно- телекоммуникационной сети «Интернет» определением Арбитражного суда города Москвы от 09.09.2020 производство по настоящему делу возобновлено, а 12.10.2020 Арбитражным судом города Москвы вынесено решение по существу настоящего спора.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"ЭкоТрансСервис" (подробнее) Ответчики: ГОСУДАРСТВЕННОЕ БЮДЖЕТНОЕ УЧРЕЖДЕНИЕ ГОРОДА МОСКВЫ "МНОГОФУНКЦИОНАЛЬНЫЕ ЦЕНТРЫ ПРЕДОСТАВЛЕНИЯ ГОСУДАРСТВЕННЫХ УСЛУГ ГОРОДА МОСКВЫ"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