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в электронном виде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на ее подачу. 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 Последним обжалуемым судебным актом, принятым по результатам рассмотрения настоящего дела по существу, является постановление Арбитражного суда Уральского округа, принятое и вступившее в законную силу 21.02.2020, следовательно, срок на подачу кассационной жалобы истек 21.04.2020. Между тем товарищество, извещенное надлежащим образом о времени и месте судебного разбирательства в судах трех инстанций, направило кассационную жалобу вместе с ходатайством о восстановлении пропущенного срока 12.10.2020, то есть не только по истечении двухмесячного срока, но и за пределами шестимесячного срока со дня вступления в законную силу последнего обжалуемого судебного акта, принятого по настоящему делу. Указанный шестимесячный срок является пресекательным и восстановлению не подлежит. При таком положении в удовлетворении ходатайства о восстановлении пропущенного процессуального срока следует отказать, а кассационную жалобу возвратить заявителю на основании пункта 3 части 1 статьи 291.5 АПК РФ . Кассационная жалоба подана обществом в электронном виде, в связи с чем бумажный носитель с текстом кассационной жалобы в адрес общества не возвращается. Поскольку к кассационной жалобе приложена копия платежного поручения от 12.10.2020 № 479, вопрос о возврате государственной пошлины из федерального бюджета в отсутствие оригинала платежного поручения не может быть разрешен.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Управляющая компания «Парковый» о восстановлении пропущенного процессуального срока подачи кассационной жалобы отказать. Кассационную жалобу общества с ограниченной ответственностью Управляющая компания «Парковый» на решение Арбитражного суда Челябинской области от 31.07.2019, постановление Восемнадцатого арбитражного апелляционного суда от 07.10.2019 и постановление Арбитражного суда Уральского округа от 21.02.2020 по делу № А76-34580/2018 возвратить заявителю.Судья Верховного Суда Российской Федерации Н.С. Чучунова Суд: Верховный Суд РФ (подробнее) Истцы: ТСЖ Вайцель Лариса Генриховна пред-ль "Парковый" (подробнее) ТСЖ "Парковый" (подробнее) Ответчики: Главное управление "Государственная жилищная инспекция Челябинской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