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11.11.2019, оставленным без изменения постановлением Семнадцатого арбитражного апелляционного суда от 19.02.2020, в иске отказано. Постановлением Арбитражного суда Уральского округа от 18.06.2020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пункта 12 статьи 1 Федерального закона от 27.12.2018 № 502-ФЗ «О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нужд», суды в иске отказали, признав, что изменение цены контракта возможно лишь по соглашению сторон в пределах лимитов бюджетных обязательств.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"ПРОМАГРОЛИЗИНГ-ЦЕНТР" (подробнее) Ответчики: АДМИНИСТРАЦИЯ ГОРОДА ЕКАТЕРИНБУРГА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