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17.10.2019, оставленным без изменения постановлением Седьмого арбитражного апелляционного суда от 20.12.2019, в удовлетворении заявленного требования отказано. Постановлением Арбитражного суда Западно-Сибирского округа от 15.06.2020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акта отменить, ссылаясь на допущенные, по его мнению, существенные нарушения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обществу вменяется недекларирование по установленной форме перемещаемых нефтепродуктов. Частью 1 статьи 16.2 Кодекса Российской Федерации об административных правонарушениях установлена ответственность за недекларирование по установленной форме товаров, подлежащих таможенному декларированию, за исключением случаев, предусмотренных статьей 16.4 настоящего Кодекса. Оценив представленные доказательства, руководствуясь положениями Таможенный кодекс Евразийского экономического союза и разъяснениями, изложенными в пункте 30 постановления Пленума Верховного Суда Российской Федерации от 24.10.2006 № 18 «О некоторых вопросах, возникающих у судов при применении особенной части Кодекса Российской Федерации об административных правонарушениях», суды пришли к выводу о наличии в действиях общества состава правонарушения, ответственность за совершение которого установлена частью 1 статьи 16.2 Кодекса Российской Федерации об административных правонарушениях. Процедура и срок давности привлечения к административной ответственности соблюдены, оснований для освобождения общества от ответственности в связи с малозначительностью правонарушения не установлено. Доводы жалобы были предметом рассмотрения судов и получили исчерпывающую оценку в обжалуемых судебных актах, не согласиться с которой оснований не имеется. Существенных нарушений судами норм материального права, а также требований процессуального законодательства, повлиявших на исход судебного разбирательства, по доводам жалобы не установлено.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