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11.11.2019 иск удовлетворен частично, с общества в пользу учреждения взыскано 4 812 500 рублей, в удовлетворении остальной части иска отказано. Постановлением Девятого арбитражного апелляционного суда от 30.01.2020, решение суда первой инстанции отменено, в удовлетворении иска отказано. Постановлением Арбитражного суда Московского округа от 19.06.2020 постановление суда апелляционной инстанции оставлено без изменения. Учреждение обратилось в Верховный Суд Российской Федерации с кассационной жалобой, в которой просит состоявшиеся по делу судебные акты отменить, считая их принятыми с нарушением норм материального и процессуального права. При изучении доводов жалобы и принятых по делу судебных актов оснований для удовлетворения жалобы не установлено. Руководствуясь положениями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Гражданского кодекса Российской Федерации, суд апелляционной инстанции в иске отказал, признав, что с учетом установленных обстоятельств и условий контракта оснований для взыскания штрафа за ненадлежащее исполнение обязательств в рассматриваемом случае не имеется. Доводы жалобы были предметом исследования судов апелляционной и кассационной инстанций и получили исчерпывающую правовую оценку, не согласиться с которой оснований не имеется. Указанные доводы сводятся к несогласию заявителя с установленными судами фактическими обстоятельствами дела и оценкой доказательств, что в силу статьи 291.6 Арбитражного процессуального кодекса Российской Федерации не может являться основанием для отмены оспариваемых судебных актов в кассационном порядке.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судом не допущено.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Росморречфлот (подробнее) Федеральное бюджетное учреждение "Администрация Волжского бассейна внутренних водных путей" (подробнее) Ответчики: ООО "Техтрансстрой"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