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21.11.2019, оставленным без изменения постановлением Двадцатого арбитражного апелляционного суда от 19.02.2020, иск удовлетворен частично, с ответчика в пользу истца взыскана задолженность в размере 747 732,5 рублей, в остальной части иска отказано. Постановлением Арбитражного суда Центрального округа от 18.06.2020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иске в обжалуемой части, признав факт поставки, но указав, что поставка товара по максимальной цене не соответствует условиям контракта, при этом пени не подлежат взысканию, поскольку у ответчика (заказчика) отсутствовала возможность оплаты полученных нефтепродуктов по вине истца (поставщика). Доводы жалобы были предметом исследования судов и получили исчерпывающую правовую оценку,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"ТОПЛИВНАЯ КОМПАНИЯ СПЕКТРАВТО" (подробнее) Ответчики: Управление Федеральной службы по надзору в сфере защиты прав потребителей и благополучия человека по Рязанской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