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30.11.2019, оставленным без изменения постановлением Девятого арбитражного апелляционного суда от 20.02.2020, иск удовлетворен в заявленном объеме. Арбитражный суд Московского округа постановлением от 02.07.2020 решение от 30.11.2019 и постановление Девятого арбитражного апелляционного суда от 20.02.2020 оставил без изменения. В кассационной жалобе компания просит о пересмотре судебных актов в отношении взысканных на будущее время процентов за пользование кредитом.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задолженность по кредитам ранее взыскана в рамках дела № А40-210791/2016. Решение суда к моменту предъявления рассматриваемого иска не исполнено и не прекратило обязательств, возникающих из кредитных договоров от 18.11.2010 № 30/К/0282, от 17.12.2010 № 30/К/0295 в том числе по уплате процентов за пользование кредитом, взысканных в договорном размере с присужденных сумм задолженности до их фактической уплаты на основании статей 809 , 819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RETAIL CHAIN PROPERTIES LIMITED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НАЦИОНАЛЬНЫЙ БАНК "ТРАСТ" (подробнее) Ответчики: Компания РИТЕЙЛ ЧЕЙН ПРОПЕРТИЗ ЛИМИТЕД (подробнее) Судьи дела: Ксенофонтова Н.А. (судья) (подробнее)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