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11.12.2019, оставленным без изменения постановлением Пятого арбитражного апелляционного суда от 27.02.2020, иск удовлетворен. Арбитражный суд Дальневосточного округа постановлением от 16.06.2020 отменил решение от 11.12.2019 и постановление Пятого арбитражного апелляционного суда от 27.02.2020 и в удовлетворении иска отказал. В кассационной жалобе компания просит об отмене постановления окружного суда, ссылаясь на неоказание услуги.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норм права к правоотношениям сторон судами первой и апелляционной инстанций, поэтому отменил их судебные акты в пределах полномочий, предусмотренных статьями 286 , 287 Арбитражного процессуального кодекса Российской Федерации. Установив, что исследованные судами правоотношения являются комиссией и ответчиком как комиссионером исполнено поручение компании, окружной суд не признал наличия у требуемой суммы признаков неосновательного обогащения.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«Дальневосточная энергетическая управляющая компания – ГенерацияСети»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"Дальневосточная энергетическая управляющая компания" (подробнее) Ответчики: ООО "Корпоративный альянс "Турне-Транс"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