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Северная Осетия-Алания от 10.06.2019 с компании взыскано 5 000 000 рублей задолженности, 1 050 410 рублей 98 копеек процентов, 2 105 753 рубля 42 копейки неустойки за невозврат основной задолженности и 154 024 рубля 38 копеек неустойки за просрочку уплаты процентов. В иске к предпринимателю отказано. Шестнадцатый арбитражный апелляционный суда постановлением от 10.10.2019 изменил решение от 10.06.2019 и взыскал с компании в пользу 5 000 000 рублей задолженности, 4 349 589 рублей 42 копейки процентов, 7 476 164 рубля 38 копеек неустойки на сумму просроченного основного долга и 2 788 874 рубля 36 копеек неустойки за просроченную задолженность по процентам. Арбитражный суд Северо-Кавказского округа постановлением от 05.06.2020 постановление Шестнадцатого арбитражного апелляционного суда от 10.10.2019 оставил без изменения. В кассационной жалобе компания просит об отмене судебных актов апелляционного и окружного судов, ссылаясь на злоупотребление банком правом, предъявление иска за пределами срока исковой давности и рассмотрение спора с нарушением правил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Требования о взыскании задолженности, процентов и неустойки предъявлены в соответствии со статьями 196 , 200 Гражданского кодекса Российской Федерации в августе 2018 года после признания принятым в рамках дела о банкротстве банка определением от 13.03.2017 недействительным договора от 06.06.2013 № 1. Предъявление правомерных требований не может рассматриваться в качестве злоупотребления правом. Вопросы подсудности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«Строй-Сити»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ГК Акб "брр" (подробнее) ГК АКБ "БРР" в лице конкурсного управляющего "Агентство по страхованию вкладов" (подробнее) Ответчики: ООО "Строительная компания "Строй-Сити"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