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23.07.2019, оставленным без изменения постановлением Девятого арбитражного апелляционного суда от 17.12.2019, в удовлетворении иска отказано. Арбитражный суд Московского округа постановлением от 16.06.2020 решение от 23.07.2019 и постановление Девятого арбитражного апелляционного суда от 17.12.2019 оставил без изменения. В кассационной жалобе общество «Страховая компания «Арсеналъ» просит об отмене постановления суда округа вследствие неправильного применения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установил, что страховое возмещение выплачено обществом «Страховая компания «Арсеналъ» в связи со страховым случаем, попадающим под действие контракта от 12.09.2016 № 31/29 ГК, и в соответствии с применимой к правоотношениям редакцией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Федерации». В такой ситуации оснований для переложения выплаченной суммы на ответчика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