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29.10.2019, оставленным без изменения постановлением Девятого арбитражного апелляционного суда от 28.01.2020, в удовлетворении иска отказано. Арбитражный суд Московского округа постановлением от 11.06.2020 решение от 29.10.2019 и постановление Девятого арбитражного апелляционного суда от 28.01.2020 оставил без изменения. В кассационной жалобе общество просит об отмене судебных актов вследствие неустановления сомнительности конкретных операций и отсутствия надлежащей оценки применения банком фискальных полномочий.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оспариваемые действия банка явились результатом финансового мониторинга операций общества применительно к критериям, содержащимся в Федеральном законе от 07.08.2001 № 115-ФЗ «О противодействии легализации (отмыванию) доходов, полученных преступным путем, и финансированию терроризма», нормативных актах Банка России, правилах внутреннего контроля, и соответствуют этим документам и договору банковского счета. Доводы жалобы опровергаются установленными судами обстоятельствами.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«Комфорт»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Комфорт (подробнее) Ответчики: ПАО Росбанк опер.офис Вологодский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