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15.10.2019, оставленным без изменения постановлением Девятого арбитражного апелляционного суда от 03.02.2020, в удовлетворении иска отказано. Арбитражный суд Московского округа постановлением от 16.06.2020 решение от 15.10.2019 и постановление Девятого арбитражного апелляционного суда от 03.02.2020 оставил без изменения. В кассационной жалобе общество просит об отмене судебных актов вследствие неустановления сомнительности конкретных операций и отсутствия надлежащей оценки применения банком фискальных полномочий.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оспариваемые действия банка явились результатом проверки операций общества применительно к критериям, установленным Федеральным законом от 07.08.2001 № 115-ФЗ «О противодействии легализации (отмыванию) доходов, полученных преступным путем, и финансированию терроризма», нормативными актами Банка России, правилами внутреннего контроля, и соответствуют этим документам и договору банковского счета. Доводы жалобы опровергаются установленными судами обстоятельствами.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"Стройресурс" (подробнее) Ответчики: ПАО РОСБАНК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