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22.10.2019, оставленным без изменения постановлением Восьмого арбитражного апелляционного суда от 22.01.2020, в удовлетворении иска отказано. Арбитражный суд Западно-Сибирского округа постановлением от 09.06.2020 решение от 22.10.2019 и постановление Восьмого арбитражного апелляционного суда от 22.01.2020 оставил без изменения. В кассационной жалобе агентство просит об отмене судебных актов вследствие несоответствия выводов судов о характере спорных платежей фактическим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операции, в связи с которыми оспариваются действия, оценены банком как сомнительные в соответствии с требованиями, предъявляемыми Федеральным законом от 07.08.2001 № 115-ФЗ «О противодействии легализации (отмыванию) доходов, полученных преступным путем, и финансированию терроризма», нормативными актами Банка России и внутренними правилами, поэтому отказали в признании действий банка незаконными.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«Агентство прямых инвестиций»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"АГЕНТСТВО ПРЯМЫХ ИНВЕСТИЦИЙ" (подробнее) Ответчики: ПАО "ПРОМСВЯЗЬБАНК" в лице операционного офиса "Омский"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