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14.08.2019, оставленным без изменения постановлением Тринадцатого арбитражного апелляционного суда от 29.11.2019, в удовлетворении иска отказано. Арбитражный суд Северо-Западного округа постановлением от 08.06.2020 решение от 14.08.2019 и постановление Тринадцатого арбитражного апелляционного суда от 29.11.2019 оставил без изменения. В кассационной жалобе общество просит об отмене судебных актов, ссылаясь на непосредственное неисследование судами апелляционной и кассационной инстанций вопросов о назначении и правовой природе комиссии.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правовым основанием для удержания спорной суммы является договор банковского счета. У поддержавших решение судов апелляционной и кассационной инстанций отсутствовала необходимость в изменении оценки назначения и правовой природы удержанной суммы. Действия банка по установлению и удержанию комиссий от сумм денежных переводов находятся в пределах договора и не создают условий для применения статьи 1102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«Связь-Строй-Сервис»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"СВЯЗЬ-СТРОЙ-СЕРВИС" (подробнее) Ответчики: ПАО "Промсвязьбанк" (подробнее) Иные лица: к/у Романова А.А.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