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Чувашской Республики – Чувашии от 17.07.2019, оставленным без изменения постановлением Первого арбитражного апелляционного суда от 03.12.2019, взыскано 31 105 рублей 31 копейка задолженности и 18 569 рублей 87 копеек пеней за период с 28.11.2017 по 17.07.2019 с дальнейшим их начислением по день фактического исполнения обязательства исходя из 0,1 процента от суммы долга за каждый день просрочки. Арбитражный суд Волго-Вятского округа постановлением от 01.06.2020 решение от 17.07.2019 и постановление Первого арбитражного апелляционного суда от 03.12.2019 оставил без изменения. В кассационной жалобе агентство просит об отмене судебных актов, ссылаясь на обязание к исполнению незаключенного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агентство признано победителем аукциона о праве на заключение договора на установку и эксплуатации рекламных конструкций и, не подписав договор от 18.08.2017 № 46, испросило и получило разрешение на установку конструкций. В такой ситуации суды признали договор заключенным в соответствии со статьями 309 , 310 , 424 , 432 , 433 , 438 , 447 , 448 Гражданского кодекса Российской Федерации, пунктами 3, 6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договора». Доводу о неосновательном включении в цену договора суммы налога на добавленную стоимость дана правовая оценка.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«Рекламное агентство «Концепция»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Комитет по управлению муниципальным имуществом администрации городского округа "Город Йошкар-Ола" (подробнее) Ответчики: ООО "Рекламное агентство "Концепция" (подробнее) Иные лица: Верховный Суд Российской Федерации (подробнее) Судьи дела: Ксенофонтова Н.А.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