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07.10.2019, оставленным без изменения постановлением Девятого арбитражного апелляционного суда от 24.12.2019, иск удовлетворен. Арбитражный суд Московского округа постановлением от 08.06.2020 решение от 07.10.2019 и постановление Девятого арбитражного апелляционного суда от 24.12.2019 оставил без изменения. В кассационной жалобе банк просит об отмене судебных актов, ссылаясь на удержание спорной суммы в соответствии с условиями договора и ошибочную квалификацию ее в качестве штрафа.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не признали договор как основание для удержания комиссии за закрытие счета, учитывая установление комиссии за подобное действие в противоречие со статьями 858 , 859 , 1102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«Акционерный коммерческий банк «ЛАНТА-БАНК»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ГРИНТРЕЙД (подробнее) Ответчики: АО коммерческий банк "Ланта-Банк"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