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06.12.2019, оставленным без изменения постановлением Первого арбитражного апелляционного суда от 17.02.2020, взыскано 15 224 рубля 81 копейка страхового возмещения, 15 500 рублей расходов на услуги эксперта, 3 044 рубля неустойки за период с 25.07.2019 по 13.08.2019 с дальнейшим ее начислением по ставке 1% до момента фактического исполнения обязательства, 500 рублей расходов на юридические услуги. Арбитражный суд Волго-Вятского округа постановлением от 08.06.2020 решение от 06.12.2019 и постановление Первого арбитражного апелляционного суда от 17.02.2020 оставил без изменения. В кассационной жалобе компания просит об отмене судебных актов, ссылаясь на отсутствие права на предъявление иска в связи с неполучением и непрдеъявлением к исполнению исполнительного документа по делу № А19-18210/2018.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правомерно указал, что право на предъявление иска к компании возникло у истца после исчерпания возможности получения выплат в порядке прямого возмещения убытков, определяемого отзывом лицензии у страховщика ответственности потерпевшего, и реализовано истцом в пределах срока исковой давности, установленного статьей 966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«Объединенная страховая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 Защита страхователей" (подробнее) Ответчики: АО "Объединенная страховая компания" (подробнее) АО ОСК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