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29.05.2019 в удовлетворении иска отказано. Постановлением Девятого арбитражного апелляционного суда от 18.10.2019, оставленным без изменения постановлением Арбитражного суда Московского округа от 18.06.2020, решение отменено, иск удовлетворен. В кассационной жалобе общество «ЛКОМ» просит отменить судебные акты апелляционного и окружного судов, ссылаясь на отсутствие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несоблюдение договорного порядка представления возражений в отношении предъявленных актов оказанных услуг, поэтому счел услуги оказанными и подлежащими оплате в соответствии договором от 11.01.2017 № 39072 статьями 309 , 310 , 395 , 779 , 781 Гражданского кодекса Российской Федерации. Оспаривание выводов судов, сделанных по результату исследования и оценки обстоятельств дела,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"Метро Кэш энд Керри" (подробнее) Ответчики: ООО "Лком"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