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13.06.2019 первоначальный иск удовлетворен, в удовлетворении встречного иска отказано. Постановлением Тринадцатого арбитражного апелляционного суда от 10.10.2019 решение изменено:первоначальный иск удовлетворен частично, в удовлетворении встречного иска отказано. Постановлением Арбитражного суда Северо-Западного округа от 09.06.2020 решение и постановление апелляционного суда по первоначальному иску отменены с направлением дела на новое рассмотрение, в отношении встречного иска судебные акты оставлены без изменения. В кассационной жалобе завод просит отменить постановление окружного суда вследствие переоценки им выводов судов нижестоящих инстанций.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признав необходимость нового рассмотрения дела для установления не исследованных судами нижестоящих инстанций обстоятельств, имеющих правовое значение для взыскания убытков, действовал в пределах полномочий, предоставленных статьями 286 –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«Рузаевский завод химического машиностроения»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