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02.12.2019, оставленным без изменения постановлением Десятого арбитражного апелляционного суда от 20.02.2020 и постановлением Арбитражного суда Московского округа от 03.07.2020, иск удовлетворен. В кассационной жалобе объединение просит об отмене судебных актов в отношении неустойки как не соответствующих соглашению о ней.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 отклонили довод объединения, основанный на договоре в иной редакции, поскольку суд первой инстанции в отсутствие возражений ответчика рассмотрел дело из представленного истцом договора. На стадии кассационного производства указанный довод не создает основания для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«Проектно-строительное объединение № 13»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"Строитель" (подробнее) ООО "СТРОИТЕЛЬ" представитель Щербицкая Г.П. (подробнее) Ответчики: АО "Проектно-строительное объединение №13"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