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Воронежской области от 12.05.2020 встречное исковое заявление общества «Деловые поставки» о взыскании неосновательного обогащения возвращено. Постановлением Девятнадцатого арбитражного апелляционного суда от 10.06.2020 и постановлением Арбитражного суда Центрального округа от 07.08.2020 определение от 12.05.2020 оставлено без изменения. В кассационной жалобе общество «Деловые поставки» просит об отмене указанных судебных актов как не соответствующих процессуальным нормам.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предъявление до подачи встречного иска самостоятельного иска о том же предмете. В такой ситуации возвращение встречного иска не препятствует восстановлению и защите прав, что исключает пересмотр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«Деловые поставки»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