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14.11.2019, оставленным без изменения постановлением Семнадцатого арбитражного апелляционного суда от 10.02.2020, с учетом применения статьи 333 Гражданского кодекса Российской Федерации взыскано 492 332 рубля штрафа. Арбитражный суд Уральского округа постановлением от 15.06.2020 решение от 14.11.2019 и постановление Семнадцатого арбитражного апелляционного суда от 10.02.2020 оставил без изменения. В кассационной жалобе компания просит об отмене судебных актов, ссылаясь на недоказанность искажения наименования груза в накладной и использование при определении классификации груза ненадлежащих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качестве основания для применения требуемой истцом ответственности, предусмотренной статьей 98 Федерального закона от 10.01.2003 № 18-ФЗ «Устав железнодорожного транспорта Российской Федерации», суды установили неверное определение тарифного класса и размера провозной платы, обусловленное неправильным применительно к функциональным характеристикам груза указанием компанией его наименования и кода. Вопросы доказывания и оценки доказательств, с которыми связаны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«Гипсополимер»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"РЖД" - Пермское отделение Свердловской железной дороги (подробнее) ОАО "Российские железные дороги" (подробнее) Ответчики: ООО "УПРАВЛЯЮЩАЯ КОМПАНИЯ "ГИПСОПОЛИМЕР"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