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15.11.2019, оставленным без изменения постановлением Семнадцатого арбитражного апелляционного суда от 24.01.2020 и постановлением Арбитражного суда Уральского округа от 11.06.2020, в удовлетворении первоначального иска отказано, встречный иск удовлетворен. В кассационной жалобе предприятие просит о пересмотре судебных актов, ссылаясь на недобросовестность ответчика и ненадлежащие доказательства некачественности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поставку предприятием не соответствующего условиям договора от 09.11.2017 № СП 15-01-17 товара в качестве основания для применения последствий, предусмотренных статьями 475 , 476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предприятие «Мишима-Машпром»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СОВМЕСТНОЕ ПРЕДПРИЯТИЕ МИШИМА-МАШПРОМ (подробнее) Ответчики: АО Уральская сталь (подробнее) Иные лица: АНО "Судебная экспертиза"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