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30.12.2019, оставленным без изменения постановлением Пятнадцатого арбитражного апелляционного суда от 11.03.2020 и постановлением Арбитражного суда Северо-Кавказского округа от 11.03.2020, иск удовлетворен в части расторжения договора. В кассационной жалобе предприниматель просит о пересмотре судебных актов в части отказа во взыскании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Обстоятельства, составляющие в силу статей 15 , 393 Гражданского кодекса Российской Федерации условия для взыскания убытков, не подлежат переоценке на стадии кассационного пересмотра судебных актов.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 главе крестьянского (фермерского) хозяйства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ИП Глава КФХ Демидова Н. Н. (подробнее) Ответчики: ООО "Конструктор"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