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с ограниченной ответственностью «Трансойл»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11.06.2020 № 528359 за рассмотрение в Верховном Суде Российской Федерации кассационной жалобы по делу № А40-307771/2018,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госпошлины)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кодекса Российской Федерации является основанием для возвращения кассационной жалобы без рассмотрения по существу. Руководствуясь статьями 117 , 184 , 291.2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«Трансойл» о зачете государственной пошлины за подачу кассационной жалобы на решение Арбитражного суда города Москвы от 21.11.2019 по делу № А40-256109/2019, постановление Девятого арбитражного апелляционного суда от 17.02.2020 и постановление Арбитражного суда Московского округа от 29.05.2020 по тому же делу. Жалобу общества с ограниченной ответственностью «Трансойл» возвратить без рассмотрения по существу. Судья Верховного Суда Российской Федерации Зарубина Е.Н. Суд: Верховный Суд РФ (подробнее) Истцы: АО "ОТЭКО" (подробнее) Ответчики: ООО "ТРАНСОЙЛ" (подробнее) Судьи дела: Зарубина Е.Н. (судья) (подробнее) Последние документы по делу: Определение от 12 октября 2020 г. по делу № А40-256109/2019 Определение от 3 августа 2020 г. по делу № А40-256109/2019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