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27.12.2019 заявление общества о взыскании с предпринимателя 65 000 рублей судебных расходов удовлетворено в части 17 000 рублей. Постановлением Восемнадцатого арбитражного апелляционного суда от 12.03.2020, оставленным без изменения постановлением Арбитражного суда Уральского округа от 09.06.2020 определение от 27.12.2019 изменено: с предпринимателя взыскано 14 000 рублей судебных расходов. В кассационной жалобе предприниматель просит об отмене судебных актов апелляционного и окружного судов, ссылаясь на оплату обществом услуг ненадлежащему лицу.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общество понесло заявленные расходы в связи с рассматриваемым делом, поэтому отклонили довод предпринимателя об оплате услуг ненадлежащему лицу.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 , 106 , 110 Арбитражного процессуального кодекса Российской Федерации и обстоятельствам рассмотрения дела.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ООО "Ветеран"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