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27.11.2019, оставленным без изменения постановлением Девятого арбитражного апелляционного суда от 22.01.2020, ходатайство ответчика о назначении по делу судебной психофизической с привлечением эксперта-полиграфолога и почерковедческой экспертизы удовлетворено. Постановлением Арбитражного суда Московского округа от 08.06.2020 определение и постановление апелляционного суда отменены, дело направлено на рассмотрение в суд первой инстанции. В кассационной жалобе ответчик просит об отмене постановления окружного суда как противоречащее принципу состязательности.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в пределах полномочий, предусмотренных статьями 286 , 287 Арбитражного процессуального кодекса Российской Федерации, отменил не соответствующие статьям 82, 185 Кодекса судебные акты нижестоящих судов, принятые в отсутствие обоснования необходимости исследования не относящихся к предмету доказывания вопросов.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Пиянзов В.А. (подробнее) Иные лица: Некоммерческая организация "Национальная Ассоциация Полиграфологов"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