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16.12.2019 в удовлетворении иска отказано. Тринадцатый арбитражный апелляционный суд постановлением от 17.03.2020 отменил решение от 16.12.2019 и удовлетворил иск в заявленном размере. Арбитражный суд Северо-Западного округа постановлением от 18.06.2020 постановление Тринадцатого арбитражного апелляционного суда от 17.03.2020 оставил без изменения. В кассационной жалобе страховая компания просит о пересмотре судебных актов апелляционного и окружного судов, ссылаясь на несоответствие их условиям страхования.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Повторно рассмотрев дело, суд апелляционной инстанции установил, что утрата застрахованного имущества отвечает согласованной сторонами в соответствии со статьями 921 , 942 Гражданского кодекса Российской Федерации характеристике страхового случая. Довод о неисполнении страхователем условий об охране имущества был предметом рассмотрения судов и отклонен как противоречащий исследованным доказательствам.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"ОМЕГА СПБ" (подробнее) Ответчики: ПАО СТРАХОВАЯ КОМПАНИЯ "РОСГОССТРАХ" (подробнее) Иные лица: МИФНС №17 по Московской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