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18.10.2019, оставленным без изменения постановлением Восемнадцатого арбитражного апелляционного суда от 20.01.2020 и постановлением Арбитражного суда Уральского округа от 08.06.2020, с общества в пользу компании взыскано 1 058 291 руб. 68 коп. задолженности, 211 435 руб. 10 коп. процентов за пользование чужими денежными средствами, проценты за пользование чужими денежными средствами до момента фактического исполнения обязательства, в удовлетворении остальной части исковых требований отказано. В кассационной жалобе (с дополнением к ней),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Республики Башкортостан.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компания, обращаясь в арбитражный суд с иском по настоящему делу, сослалась на наличие на стороне общества (генподрядчика) задолженности по договору от 14.07.2015 № 103-07/15 (далее – договор), право требования которой перешло к истцу от строительной компании (подрядчика) на основании договора об уступке права требования от 10.12.2017 (далее – договор уступки).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договор, договор уступки, акты по форме КС-2, акты по форме КС-3, акт о проведении входного контроля, ведомость смонтированного оборудования, установив факт выполнения подрядчиком работ и поставки оборудования, учитывая пересогласование сторонами договора объема и стоимости выполненных работ, суды первой и апелляционной инстанций пришли к выводу о наличии у компании права требования задолженности в ее откорректированной стоимости. При таких обстоятельствах, осуществив перерасчет задолженности, принимая во внимание отсутствие доказательств оплаты работ, руководствуясь статьями 309 , 310 , 382 , 384 , 388 , 390 , 395 , 702 , 720 , 740 , 753 Гражданского кодекса Российской Федерации, разъяснениями, изложенными в информационном письме Президиума Высшего Арбитражного Суда Российской Федерации от 24.01.2000 № 51 «Обзор практики разрешения споров по договору строительного подряда», суды частично удовлетворили исковые требования, с чем впоследствии согласился суд округа. Доводы заявителя об отсутствии оснований для взыскания задолженности свидетельствуют о его несогласии с установленными по делу фактическими обстоятельствами, были проверены судами и признаны необоснованными, направлены на переоценку установленных по делу обстоятельств, что не входит в полномочия Верховного Суда Российской Федерации. Поскольку существенных нарушений судами норм материального и процессуального права, повлиявших на исход дела, доводы жалобы не подтверждают, оснований для ее передачи для рассмотрения в судебном заседании Судебной коллегии Верховного Суда Российской Федерации не имеется.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«Строй-Прогресс»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ЗАО "Меридиан" (подробнее) Ответчики: ООО Строй-Прогресс (подробнее) Судьи дела: Чучунова Н.С. (судья) (подробнее) Судебная практика по: По договору подряда Судебная практика по применению норм ст. 702, 703 ГК РФ По строительному подряду Судебная практика по применению нормы ст. 740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