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09.10.2018, оставленным без изменения постановлением Двенадцатого арбитражного апелляционного суда от 18.01.2019, в удовлетворении заявленных требований отказано. Постановлением Арбитражного суда Поволжского округа от 18.04.2019 указанные судебные акты отменены, дело направлено на новое рассмотрение в суд первой инстанции.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в полном объеме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исходил из того, что выводы судов о верном определении таможенным органом размера таможенной стоимости товаров сделаны без учета требований таможенного законодательства о структуре таможенной стоимости применительно к установленным обстоятельствам дела.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невозможна, в том числе, защита нарушенных прав, свобод, законных интересов в сфере предпринимательской и иной экономической деятельности.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"Омсктехуглерод" (подробнее) Ответчики: Астраханская таможня (подробнее) Последние документы по делу: Определение от 12 октября 2020 г. по делу № А06-7838/2018 Определение от 15 августа 2019 г. по делу № А06-7838/2018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