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«Рыболовецкая агрофирма «8 Марта» (далее – Агрофирма) в лице его участников Денисовой Валентины Павловны и Денисова Егора Ремировича обратилось в Арбитражный суд Краснодарского края с иском к акционерному обществу «Кореновскрыба» (далее – Общество) о признании недействительной сделки по зачету от 31.12.2015, заключенной между Агрофирмой и Обществом; применении последствий ее недействительности в виде взыскания 23 473 816 рублей убытков. Решением Арбитражного суда Краснодарского края от 12.08.2019 исковые требования удовлетворены частично: сделка по зачету от 31.12.2015 признана недействительной, в удовлетворении остальной части иска отказано; распределены судебные расходы. Постановлением Пятнадцатого арбитражного апелляционного суда от 02.11.2019 решение от 12.08.2019 в части удовлетворения иска отменено, в удовлетворении требований отказано в полном объеме. Постановлением Арбитражного суда Северо-Кавказского округа от 08.06.2020 апелляционное постановление от 02.11.2019 отменено, решение от 12.08.2019 оставлено в силе. В кассационной жалобе, поданной в Верховный Суд Российской Федерации, заявитель просит изменить обжалуемые судебные акты в части распределения судебных расходов, ссылаясь на существенное нарушение судами норм материального и процессуального права. 2 В обоснование доводов жалобы заявители указывают, что к определению величины судебных расходов в рассматриваемом случае подлежит применению подпункт 2 пункта 1 статьи 333.21 Налогового кодека Российской Федерации (далее – Налоговый кодекс), согласно которому государственная пошлина за рассмотрение заявленных требований составляет 6000 рублей.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Взыскивая с Денисовой В.П. 140 369 рублей государственной пошлины, суд первой инстанции верно исходил из того, что требование о взыскании денежных средств в рассматриваемом случае выходит за рамки двусторонней реституции и не может производиться на основании статьи 167 Гражданского кодекса Российской Федерации, поскольку данное требование следует квалифицировать как о применении ответственности за неисполнение обязательств по сделкам, в связи с чем расчет государственной пошлины осуществил по правилам подпункта 1 пункта 1 статьи 333.21 Налогового кодека, предусмотренным при подаче искового заявления имущественного характера. С указанными выводами правомерно согласились апелляционный и окружной суды.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Денисовой Валентины Павловны, Денисова Егора Ремировича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