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08.11.2019, оставленным без изменения постановлением Восемнадцатого арбитражного апелляционного суда от 12.02.2020, в удовлетворении заявленного требования отказано. Постановлением Арбитражного суда Уральского округа от 18.06.2020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253 , 257 , 260 , 375 Налогового кодекса Российской Федерации, суды отказали в удовлетворении заявленных требований, признав, что произведена реконструкция, увеличивающая первоначальную стоимость объекта, расходы на нее подлежат списанию посредством амортизации, и подлежат учету в составе первоначальной стоимости объекта, применяемой при определении среднегодовой стоимости имущества.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"Региональная лизинговая компания" (подробнее) Ответчики: Инспекция Федеральной налоговой службы по Ленинскому району г. Оренбурга (подробнее) Управление Федеральной налоговой службы по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