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18.06.2020, оставленным без изменения постановлением Десятого арбитражного апелляционного суда от 30.07.2020, производство по настоящему делу приостановлено до вступления в законную силу решения Коптевского районного суда города Москвы по делу № 02-0374/2020. Постановлением Арбитражного суда Московского округа от 11.09.2020 определение суда первой инстанции и постановление суда апелляционной инстанции отменены, дело направлено в Арбитражный суд Московской области для рассмотрения по существу. Не согласившись с постановлением суда округа, Министерство строительного комплекса Московской области и Министерство экономики 2 и финансов Московской области обратились в Верховный Суд Российской Федерации с кассационными жалобами, одновременно заявив ходатайства о приостановлении его исполнения.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В данном случае постановление суда округа не подразумевает какого-либо исполнения со стороны лиц, участвующих в деле, а поэтому основания для удовлетворения ходатайств отсутствуют. Руководствуясь статьями 184,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 Министерства строительного комплекса Московской области и Министерства экономики и финансов Московской области о приостановлении исполнения постановления Арбитражного суда Московского округа от 11.09.2020 по делу № А41-100804/2018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