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18.12.2019, оставленным без изменения постановлением Девятого арбитражного апелляционного суда от 18.03.2020, иск удовлетворен. Постановлением Арбитражного суда Московского округа от 07.07.2020 указанные судебные акты отменены, дело направлено на новое рассмотрение в суд первой инстанции. Общество обратилось в Верховный Суд Российской Федерации с кассационной жалобой, в которой просит постановление суда округа отменить, 2 считая его принятым с нарушением норм материального и процессуального права. Изучив изложенные в кассационной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Суд округа отменил судебные акты судов первой и апелляционной инстанций и направил дело на новое рассмотрение, действуя в пределах полномочий, предоставленных ему статьей 287 Арбитражного процессуального кодекса Российской Федерации, по основаниям, предусмотренным статьей 288 названного Кодекса. При этом суд округа указал на необходимость судам исследовать и оценить все представленные в материалы дела доказательства, и с учетом результата их оценки в совокупности и взаимосвязи принять обоснованное решение.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 представлять доказательства, а также отстаивать свою позицию доступными процессуальными способами при новом рассмотрении дела, 3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При указанных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Определением Верховного Суда Российской Федерации от 25.08.2020 заявителю кассационной жалобы была предоставлена отсрочка по уплате государственной пошлины до окончания производства по рассмотрению кассационной жалобы. Учитывая, что производство по рассмотрению кассационной жалобы завершено, государственная пошлина в сумме 3000 рублей подлежит взысканию с общества с ограниченной ответственностью «ИНТЕРСНАБ» в доход федерального бюджета. Учитывая изложенное и руководствуясь статьями 291.1, 291.6, 291.8, 319 Арбитражного процессуального кодекса Российской Федерации, статьей 333.21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Взыскать с общества с ограниченной ответственностью «ИНТЕРСНАБ» в доход федерального бюджета государственную пошлину в размере 3000 (три тысячи) рублей. Арбитражному суду города Москвы выдать исполнительный лист на взыскание государственной пошлины. Судья Верховного Суда Российской Федерации А.Г. Першутов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