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28.09.2020 (согласно штампу на почтовом конверте)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процессуального срока ее подачи.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Поскольку последним обжалуемым судебным актом является постановление Арбитражного суда Московского округа от 28.05.2020, то на момент обращения заявителя в Верховный Суд Российской Федерации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качестве основания для восстановления процессуального срока общество указывает на неполучение по почте копии постановления суда округа. Между тем процессуальным законом не предусмотрено исчисление срока на обжалование с момента получения заявителем копии судебного акта. Принимая во внимание, что общество являлось инициатором кассационного обжалования и его представитель присутствовал в судебном заседании суда округа, из информации, размещенной в «Картотеке арбитражных дел» в сети «Интернет» следует, что полный текст постановления от 28.05.2020 опубликован в общедоступной базе судебных актов 29.05.2020, заявитель имел реальную возможность в установленный законом срок подготовить и направить жалобу в адрес Верховного Суда Российской Федерации.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Поскольку обществом не приведено объективных причин, препятствующих ему подать кассационную жалобу в установленный законом срок, ходатайство следует оставить без удовлетворения, а кассационную жалобу - возвратить заявителю. Уплаченная обществом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117 , 184 ,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акционерного общества «ТРАНССИМПЛ» о восстановлении пропущенного процессуального срока отказать. Возвратить акционерному обществу «ТРАНССИМПЛ» кассационную жалобу на постановление Девятого арбитражного апелляционного суда от 26.12.2019 и постановление Арбитражного суда Московского округа от 28.05.2020 по делу № А40-131410/2019. Возвратить акционерному обществу «ТРАНССИМПЛ» из федерального бюджета 6000 рублей государственной пошлины, уплаченной по платежному поручению от 25.09.2020 № 968566. Выдать справку на возврат государственной пошлины.Судья Верховного Суда Российской Федерации Н.С. Чучунова Суд: Верховный Суд РФ (подробнее) Истцы: ООО "БОГОРОДСКАЯ СТРОИТЕЛЬНАЯ КОМПАНИЯ" (подробнее) Ответчики: АО "ТРАНССИМПЛ"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