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пунктом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данного Кодекса. Оценив доводы, изложенные в ходатайстве, суд приходит к выводу о наличии оснований для его удовлетворения. 2 Руководствуясь статьями 102, 184, 185 Арбитражного процессуального кодекса Российской Федерации, статьями 333.22,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акционерного общества «Сандимакс» удовлетворить. Предоставить акционерному обществу «Сандимакс» отсрочку уплаты государственной пошлины сроком до окончания производства по кассационной жалобе.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