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Судебной коллегии по экономическим спорам Верховного Суда Российской Федерации от 01.10.2020 № 305-ЭС17-3119 (5, 6) постановление Девятого арбитражного апелляционного суда от 20.01.2020 по делу № А40-45790/2012 Арбитражного суда города Москвы отменено, в силе оставлено определение Арбитражного суда города Москвы от 02.12.2019 по тому же делу. 2 АО «Центральная топливная компания» обратилась с заявлением об устранении опечатки в названном определении. Действительно, при изготовлении текста указанного определения в вводной части на первой странице допущена опечатка: вместо номера дела «№ А40-45790/2012» указано «№ А40-54790/2012». В соответствии со статьей 184, частью 3 статьи 179 Арбитражного процессуального кодекса Российской Федерации эта опечатка подлежит исправлению, поскольку такое исправление не повлияет на существо вынесенного определения и не изменит его содержания. Руководствуясь статьей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опечатку, допущенную в определении Судебной коллегии по экономическим спорам Верховного Суда Российской Федерации от 01.10.2020 № 305-ЭС17-3119 (5, 6): в вводной части определения вместо «№ А40-54790/2012» читать – «№ А40-45790/2012». Председательствующий-судья И.А. Букина судья И.В. Разумов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