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23.10.2019, оставленным без изменения постановлением Девятого арбитражного апелляционного суда от 03.02.2020 и постановлением Арбитражного суда Московского округа от 17.06.2020,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в антимонопольный орган поступило обращение учреждения (заказчик) о включении сведений об обществе (исполнитель) в реестр недобросовестных поставщиков в связи с уклонением от заключения государственного контракта по результатам электронного аукциона на оказание услуг по уборке внутренних помещений заказчика. По результатам рассмотрения обращения заказчика управлением принято решение о включения сведений об обществе в реестр недобросовестных поставщиков. Несогласие с решением антимонопольного органа послужило основанием обращения общества в суд. Оценив представленные в материалы дела доказательства, руководствуясь положениями статей 83.2, 96, 104 Федерального закона от 05.04.2013 № 44-ФЗ «О контрактной системе в сфере закупок товаров, работ, услуг для обеспечения государственных нужд», суды трех инстанций пришли к выводу о том, что оспариваемое решение соответствует положениям действующего законодательства и не нарушает права и законные интересы заявителя. Судебные инстанции исходили из того, что представленная обществом банковская гарантия не соответствовала требованиям закупочной документации, в связи с чем не могла быть принята заказчиком в качестве надлежащего обеспечения исполнения контракта, поскольку не предусматривала требование уплатить всю сумму по гарантии в случае расторжения контракта по причине неисполнения или ненадлежащего исполнения принципалом обязанностей по контракту. Суды отметили, что общество было заранее уведомлено о несоответствии представленной банковской гарантии требованиям аукционной документации, исполнителем не принимались меры по замене обеспечения исполнения контракта.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«ГАУСС»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"ГАУСС" (подробнее) Ответчики: УФАС по Москве (подробнее) Иные лица: ГОСУДАРСТВЕННОЕ БЮДЖЕТНОЕ ОБЩЕОБРАЗОВАТЕЛЬНОЕ УЧРЕЖДЕНИЕ ГОРОДА МОСКВЫ "ШКОЛА "СВИБЛОВО"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