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23.12.2019, оставленным без изменения постановлением Девятого арбитражного апелляционного суда от 20.03.2020 и постановлением Арбитражного суда Московского округа от 21.07.2020, в удовлетворении заявлений отказано. В кассационной жалобе, поданной в Верховный Суд Российской Федерации, ФИО1 и ФИО2, ссылаясь на существенное нарушение судами норм права, просят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установлено судами, решением Арбитражного суда города Москвы от 04.06.2018 по делу № А40-208163/2015 общество признано несостоятельным (банкротом), в отношении него введена процедура конкурсного производства и утвержден конкурсный управляющий ФИО3 Конкурсным управляющим организованы открытые торги посредством публичного предложения на электронной площадке, на участие в которых подано две заявки - ООО «КМ» и ФИО1, победителем признан ФИО1 Не согласившись с результатами торгов, ООО «КМ» обратилось в управление с жалобой на действия организатора торгов, в которой просило признать неправомерным отказ конкурсного управляющего общества в допуске ООО «КМ» к участию в торгах с возложением обязанности устранить допущенные нарушения и определить победителя оспариваемых торгов с учетом заявки ООО «КМ». Решением управления жалоба ООО «КМ» признана обоснованной, в действиях заказчика установлено нарушение части 12 статьи 110 Федерального закона от 26.10.2002 № 127-ФЗ «О несостоятельности (банкротстве)» (далее - Закон о банкротстве), в связи с чем выдано предписание об устранении нарушений. Не согласившись с решением и предписанием управления, общество и ФИО1 обратились в арбитражный суд. Рассматривая спор, судебные инстанции, исследовав и оценив представленные доказательства, руководствуясь положениями Федерального закона от 26.07.2006 № 135-ФЗ «О защите конкуренции», Закона о банкротстве, пришли к выводу о том, что оспариваемые акты управления соответствуют действующему законодательству и не нарушают права и законные интересы заявителей. Суды исходили из того, что на момент составления протокола об определении участников и протокола о результатах торгов, организатор знал о поступлении задатка от ООО «КМ», в связи с чем у него отсутствовали правовые основания для отказа в допуске ООО «КМ» к участию в торгах. При этом суды отметили, что внесение задатка вопреки требованиям конкурсной документации после установленного извещением времени является несущественным нарушением, носит устранимый характер и не могло повлечь отказ в допуске к участию в торгах, учитывая, что наибольшее количество участвующих в торгах лиц, проявивших интерес к отчуждаемому имуществу путем подачи заявки, способно увеличить уровень конкуренции между участниками и итоговую цену за продаваемое имущество. Отклонение заявок претендентов на стадии определения участников торгов по формальным основаниям не соответствует целям реализации имущества должника и конкурсного производства. Вопреки доводам заявителей жалобы суды указали, что на заседании комиссии не был представлен договор, заключенный по результатам торгов, зарегистрированный в установленном порядке. Иные доводы жалобы являлись предметом рассмотрения судов, основаны на ином толковании норм права применительно к установленным судами обстоятельствам,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