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08.05.2019, оставленным без изменения постановлением Шестнадцатого арбитражного апелляционного суда от 16.08.2019, удовлетворено ходатайство общества о принятии обеспечительных мер в виде приостановления действия оспариваемого решения инспекции до рассмотрения спора по существу и вступления в законную силу решения суда. Постановлением Арбитражного суда Северо-Кавказского округа от 20.10.2019 определение суда первой инстанции и постановление суда апелляционной инстанции отменены, в удовлетворении ходатайства о принятии обеспечительных мер отказано. В кассационной жалобе, поданной в Верховный Суд Российской Федерации, общество просит отменить постановление суда округа, ссылаясь на существенное нарушение норм права, и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Отменяя судебные акты и отказывая в удовлетворении ходатайства общества, суд округа, руководствуясь положениями статей 90 , 91 Арбитражного процессуального кодекса Российской Федерации, разъяснениями, изложенными в пунктах 9, 10 постановления Пленума Высшего Арбитражного Суда Российской Федерации от 12.10.2006 № 55 «О применении арбитражными судами обеспечительных мер» и пункте 3 информационного письма Президиума Высшего Арбитражного Суда Российской Федерации от 13.08.2004 № 83 «О некоторых вопросах, связанных с применением части 3 статьи 199 Арбитражного процессуального кодекса Российской Федерации», пришел к выводу об отсутствии у судов первой и апелляционной инстанций правовых оснований для принятия заявленных обеспечительных мер. Суд кассационной инстанции исходил из того, что приостановление действия решения инспекции нарушает баланс публичных и частных интересов, а также не гарантирует возмещение убытков, которые могут быть причинены одной из сторон арбитражного процесса. При этом общество не представило экономически обоснованный прогноз результатов деятельности, не обосновало возможность получения в результате хозяйственной деятельности доходов, достаточных для исполнения решения инспекции, и не опровергло документально подтвержденные доводы инспекции об уменьшении заявителем стоимости основных средств и увеличении кредиторской задолженности, что опровергает вывод судов о финансовой стабильности последнего. Также не предоставлено встречное обеспечение. Доводы общества, изложенные в кассационной жалобе, основаны на ином толковании норм права,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Вместе с тем суд обращает внимание, что на момент рассмотрения настоящей кассационной жалобы, требование общества рассмотрено по существу.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«Дагестанская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7 октября 2020 г. по делу № А15-1287/2019 Определение от 13 декабря 2019 г. по делу № А15-1287/2019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