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19.06.2019, оставленным без изменения постановлением Четырнадцатого арбитражного апелляционного суда от 22.10.2019 и постановлением Арбитражного суда Северо-Западного округа от 04.06.2020, в иске отказано; приложение к договору № 1186 (далее – договор) «Ведомость стоимости работ по техническому обслуживанию и ремонту оборудования ГРП (ГРУ), ШРП жилого фонда» (далее - ведомость) принято в редакции общества. В кассационной жалобе, поданной в Верховный Суд Российской Федерации, компания, ссылаясь на нарушение судами норм материального права, просит отменить указанные судебные акты и принять новый судебный акт об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Указанных оснований по результатам изучения судебных актов, принятых по делу, и доводов кассационной жалобы заявителя не установлено. Как следует из судебных актов, общество с ограниченной ответственностью «УК ЖЭУ» (впоследствии - компания; управляющая организация) и управление, действовавшее от имени Российской Федерации (собственник), 01.02.2017 заключили договор на управление многоквартирным домом 38, корп. 1 по Бурашевскому шоссе в г. Твери, по условиям которого управляющая организация обязалась оказывать услуги по содержанию общего имущества многоквартирного дома, обеспечивать предоставление предусмотренных этим договором коммунальных услуг путем надлежащего содержания общедомовых инженерных сетей и технических устройств. В силу пункта 1.1 проекта договора, направленного обществом (исполнителем) обществу с ограниченной ответственностью «УК ЖЭУ» (заказчику) исполнитель обязался выполнить работы по техническому обслуживанию и ремонту ВДГО, находящегося в ведении заказчика. Конкретные виды, объемы и стоимость технического обслуживания указаны в Ведомости (приложении № 2 к проекту договора) и графике выполнения работ (приложении № 4 к проекту договора). При заключении договора между сторонами возникли разногласия, касающиеся отсутствия, по мнению общества с ограниченной ответственностью «УК ЖЭУ», у него обязанности обслуживать и содержать наружную сеть газоснабжения, которая находится в собственности управления (застройщика) и обществу не передана. Поскольку стороны не достигли соглашения по вопросу исключения из ведомости дома 38, корп. 1 по Бурашевскому шоссе, компания обратилась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подземный газопровод среднего и низкого давления УГШР-50Н-ДМ-Г, построенный для поставки газа исключительно в спорный многоквартирный жилой дом, принят компанией на обслуживание по акту от 01.02.2017 (с учетом дополнений от 06.03.2017) и на обслуживание обществу не передавался; наружные газопроводы, предназначенные для обслуживания указанного жилого дома, находятся в границах земельного участка этого дома. При таких обстоятельствах, учитывая, что спорные газопроводы не относятся к внешней газораспределительной сети, руководствуясь 421, 422, 445, 446 Гражданского кодекса Российской Федерации, статьей 161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поставки газа для обеспечения коммунально-бытовых нужд граждан, утвержденными постановлением Правительства Российской Федерации от 21.07.2008 № 549,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суды приняли спорное условие договора в редакции общества и отказали в удовлетворении заявленных компанией требований.С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«Наш район»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"УК Наш район" (подробнее) Ответчики: АО "Газпром газораспределение Тверь" (подробнее) Иные лица: Администрация города Твери (подробнее) Департамент управления имуществом и земельными ресурсами администрации города Твери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