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Арбитражного суда Волгоградской области от 21.10.2019, оставленным без изменения постановлением Двенадцатого арбитражного апелляционного суда от 29.01.2020, в удовлетворении требований отказано. Постановлением Арбитражного суда Поволжского округа от 16.06.2020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ненадлежащем содержания обществом как управляющей компанией общего имущества в многоквартирном доме.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Жилищного кодекса Российской Федерации, Правил содержания общего имущества в многоквартирном доме, утвержденных постановлением Правительства Российской Федерации от 13.08.2006 № 491,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признав, что общество обязано проводить мероприятия по энергосбережению и повышению энергетической эффективности в отношении общего имущества обслуживаемого многоквартирного дома, включенные в утвержденный в установленном законодательством Российской Федерации порядке перечень мероприятий, отнесенных к обязательным работам по содержанию жилого дома.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Доводы жалобы были предметом исследования судов и получили исчерпывающую правовую оценку применительно к вмененному правонарушению,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"Аварийно-ремонтная служба" (подробнее) Ответчики: Инспекция государственного жилищного надзора Волгоградской области (подробнее) Иные лица: ООО "КОНЦЕССИИ ТЕПЛОСНАБЖЕНИЯ" (подробнее) Управление "Жилищная инспекция Волгограда"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