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в лице конкурсного управляющего обратилось в Верховный Суд Российской Федерации с кассационной жалобой на указанные судебные акты, одновременно заявив ходатайство об отсрочке уплаты государственной пошлины, мотивированное отсутствием у него денежных средств, необходимых для уплаты пошлины в установленном размере. В силу статьи 102 Арбитражного процессуального кодекса Российской Федерации основания и порядок уплаты государственной пошлины,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сборах. В соответствии с пунктом 2 статьи 333.22 Налогового кодекса Российской Федерации арбитражные суды, исходя из имущественного положения плательщика, вправе освободить его от уплаты государственной пошлины по делам, рассматриваемым указанными судами, либо уменьшить ее размер, а также отсрочить (рассрочить) ее уплату в порядке, предусмотренном статьей 333.41 данного Кодекса. Поскольку представленные заявителем в обоснование ходатайства документы свидетельствуют об отсутствии у него возможности уплатить государственную пошлину при подаче кассационной жалобы, ходатайство подлежит удовлетворению. Руководствуясь статьями 102 , 184 , 185 Арбитражного процессуального кодекса Российской Федерации, статьями 333.22 , 333.41 Налогового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«РФК» удовлетворить. Предоставить обществу с ограниченной ответственностью «РФК» отсрочку уплаты государственной пошлины сроком до окончания производства по кассационной жалобе. Судья Верховного Суда Российской Федерации Н.С. Чучунова Суд: Верховный Суд РФ (подробнее) Истцы: ООО "РФК",г.Казань (подробнее) Ответчики: АО Страховое "ВСК", г.Москва (подробнее) Мокрушин Олег Владимирович, г. Казань (подробнее) Общероссийская "Российское общество оценщиков", г. Москва (подробнее) ООО "Оценка и Консалтинг", г.Казань (подробнее) Судьи дела: Чучунова Н.С. (судья) (подробнее) Последние документы по делу: Определение от 6 октября 2020 г. по делу № А65-29490/2018 Определение от 11 августа 2020 г. по делу № А65-29490/2018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