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25.10.2019, оставленным без изменения постановлением Седьмого арбитражного апелляционного суда от 13.02.2020 и постановлением Арбитражного суда 2 Западно-Сибирского округа от 10.06.2020, первоначальные исковые требования удовлетворены, в удовлетворении встречного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Как следует из судебных актов, общество и предприниматель (управляющий) 31.08.2015 заключили договор № 1 о передаче полномочий единоличного исполнительного органа общества управляющему (далее - договор № 1), в соответствии с которым общество передало, а управляющий принял и осуществлял полномочия единоличного исполнительного органа (директора) общества, на условиях, оговоренных данным договором. Между сторонами 13.12.2016 заключено соглашение о расторжении договора № 1, по условиям которого общество обязалось оплатить исполнителю 400 000 руб. Также общество (заказчик) и предприниматель (исполнитель) 13.04.2015 заключили договор № 2015/04 на оказание консалтинговых услуг (далее – договор № 2015/04), согласно которому исполнитель принял на себя обязательства по абонентскому обслуживанию заказчика. Организация, обращаясь в арбитражный суд с иском по настоящему делу, сослалась на ненадлежащее исполнение обществом обязательств по выплате предпринимателю вознаграждения по договору № 1 и компенсации по дополнительному соглашению, права по которым переданы предпринимателем организации на основании договора от 21.01.2019 уступки права (требования). Встречный иск мотивирован тем, что общество перечислило предпринимателю денежные средства с назначением платежа «за консультационные услуги», однако предприниматель услуги обществу не оказывал, договор № 2015/04 не заключен, указанные средства получены предпринимателем без законных оснований и в отсутствие волеизъявления общества на их перечисление. 3 Суды первой и апелляционной инстанций, руководствуясь статьями 182, 183, 307, 309, 310, 382, 384, 421, 432, 779, 781, 1102 Гражданского кодекса Российской Федерации,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оказания предпринимателем услуг по договору № 1, принятия их единственным участником общества в отсутствие доказательств полной оплаты, констатировав право предпринимателя на получение компенсации, пришли к выводу о наличии оснований для удовлетворения первоначального иска. Признав договор № 2015/04 заключенным, установив реальность произведенных во исполнение данного договора встречных предоставлений, суды не усмотрели оснований для удовлетворения встречного иска. С указанными выводами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при рассмотрении дела,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«Объединенная теплосетевая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